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Анализ результатов анкетирования студентов  </w:t>
      </w:r>
      <w:r w:rsidR="008E73FE">
        <w:rPr>
          <w:rFonts w:ascii="Times New Roman" w:hAnsi="Times New Roman" w:cs="Times New Roman"/>
          <w:sz w:val="24"/>
          <w:szCs w:val="24"/>
        </w:rPr>
        <w:t>за 2025 год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Общая характеристика выборки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Всего респондентов: 1618 студентов ГБПОУ ЮУМК.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Пол: мужской – 60,2%, женский – 39,8%.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Комплексы: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металлургический – 30,5%;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строительства и предпринимательства – 27,3%;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юридический – 22,4%;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транспортно-технологический – 19,8%.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Курсы: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первый – 32,1%;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второй – 32,8%;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третий – 24,7%;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 - четвёртый – 10,3%.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6D1">
        <w:rPr>
          <w:rFonts w:ascii="Times New Roman" w:hAnsi="Times New Roman" w:cs="Times New Roman"/>
          <w:b/>
          <w:sz w:val="24"/>
          <w:szCs w:val="24"/>
        </w:rPr>
        <w:t>1. Удовлетворённость различными аспектами обучения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1.1. Качество обучения и преподавания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2"/>
        <w:gridCol w:w="1821"/>
        <w:gridCol w:w="1812"/>
        <w:gridCol w:w="1849"/>
        <w:gridCol w:w="1739"/>
      </w:tblGrid>
      <w:tr w:rsidR="001056D1" w:rsidRPr="001056D1" w:rsidTr="001056D1">
        <w:trPr>
          <w:tblHeader/>
        </w:trPr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Скорее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очень / совсем не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обучения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3,2%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преподавателей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с </w:t>
            </w:r>
            <w:proofErr w:type="gramStart"/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уровень преподавателей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64,0% (устраивает полностью)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32,5% (устраивает частично)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3,6% (не устраивает)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Студенты высоко оценивают профессиональный уровень преподавателей и взаимоотношения в учебной среде. Доля полностью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удовлетворённых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качеством обучения составляет 43,1%, ещё 38,8% – «скорее удовлетворены». Это свидетельствует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целом благополучной образовательной среде.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1.2. Организация учебного процесса 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2122"/>
        <w:gridCol w:w="2039"/>
        <w:gridCol w:w="1644"/>
      </w:tblGrid>
      <w:tr w:rsidR="001056D1" w:rsidRPr="001056D1" w:rsidTr="001056D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Устраивает полностью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Устраивает частично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Не устраивает</w:t>
            </w:r>
          </w:p>
        </w:tc>
      </w:tr>
      <w:tr w:rsidR="001056D1" w:rsidRPr="001056D1" w:rsidTr="001056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Качество организации образовательного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61,7%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33,4%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4,9%</w:t>
            </w:r>
          </w:p>
        </w:tc>
      </w:tr>
      <w:tr w:rsidR="001056D1" w:rsidRPr="001056D1" w:rsidTr="001056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Сбалансированность теории и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61,1%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32,6%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6,3%</w:t>
            </w:r>
          </w:p>
        </w:tc>
      </w:tr>
      <w:tr w:rsidR="001056D1" w:rsidRPr="001056D1" w:rsidTr="001056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62,0%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32,6%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5,4%</w:t>
            </w:r>
          </w:p>
        </w:tc>
      </w:tr>
      <w:tr w:rsidR="001056D1" w:rsidRPr="001056D1" w:rsidTr="001056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Информационно-библиотечное сопровождение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62,0%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30,6%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7,4%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Более 60% студентов полностью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организацией процесса, методическим и библиотечным обеспечением. Однако около трети дают оценку «устраивает частично», что указывает на наличие резервов для улучшения (особенно в части информационно-библиотечного сопровождения – 7,4% не устраивает).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1.3.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056D1">
        <w:rPr>
          <w:rFonts w:ascii="Times New Roman" w:hAnsi="Times New Roman" w:cs="Times New Roman"/>
          <w:sz w:val="24"/>
          <w:szCs w:val="24"/>
        </w:rPr>
        <w:t>аучн</w:t>
      </w:r>
      <w:r>
        <w:rPr>
          <w:rFonts w:ascii="Times New Roman" w:hAnsi="Times New Roman" w:cs="Times New Roman"/>
          <w:sz w:val="24"/>
          <w:szCs w:val="24"/>
        </w:rPr>
        <w:t>о-исследовательская</w:t>
      </w:r>
      <w:r w:rsidRPr="001056D1">
        <w:rPr>
          <w:rFonts w:ascii="Times New Roman" w:hAnsi="Times New Roman" w:cs="Times New Roman"/>
          <w:sz w:val="24"/>
          <w:szCs w:val="24"/>
        </w:rPr>
        <w:t xml:space="preserve"> работа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1820"/>
        <w:gridCol w:w="1793"/>
        <w:gridCol w:w="1877"/>
        <w:gridCol w:w="1752"/>
      </w:tblGrid>
      <w:tr w:rsidR="001056D1" w:rsidRPr="001056D1" w:rsidTr="001056D1">
        <w:trPr>
          <w:tblHeader/>
        </w:trPr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Скорее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очень / совсем не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научно-исследовательской работы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Обращает на себя внимание процент ответов «затрудняюсь ответить» (16,9%). Это говорить о недостаточной информированности студентов о возможностях участия в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Pr="001056D1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1056D1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1056D1">
        <w:rPr>
          <w:rFonts w:ascii="Times New Roman" w:hAnsi="Times New Roman" w:cs="Times New Roman"/>
          <w:sz w:val="24"/>
          <w:szCs w:val="24"/>
        </w:rPr>
        <w:t xml:space="preserve"> деятельность и инфраструктура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7"/>
        <w:gridCol w:w="1897"/>
        <w:gridCol w:w="1843"/>
        <w:gridCol w:w="2012"/>
        <w:gridCol w:w="1814"/>
      </w:tblGrid>
      <w:tr w:rsidR="001056D1" w:rsidRPr="001056D1" w:rsidTr="001056D1">
        <w:trPr>
          <w:tblHeader/>
        </w:trPr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Скорее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очень / совсем не удовлетворен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организации досуга (кружки, секции, спорт)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15,5%</w:t>
            </w:r>
          </w:p>
        </w:tc>
      </w:tr>
      <w:tr w:rsidR="001056D1" w:rsidRPr="001056D1" w:rsidTr="001056D1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столовой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21,5%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1056D1" w:rsidRPr="001056D1" w:rsidRDefault="001056D1" w:rsidP="001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Наиболее проблемные зоны – организация досуга и работа столовой.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lastRenderedPageBreak/>
        <w:t xml:space="preserve">- Доля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неудовлетворённых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досугом составляет 16,5%, а затруднившихся ответить – 15,5%. Это указывает на необходимость развития </w:t>
      </w:r>
      <w:proofErr w:type="spellStart"/>
      <w:r w:rsidRPr="001056D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1056D1">
        <w:rPr>
          <w:rFonts w:ascii="Times New Roman" w:hAnsi="Times New Roman" w:cs="Times New Roman"/>
          <w:sz w:val="24"/>
          <w:szCs w:val="24"/>
        </w:rPr>
        <w:t xml:space="preserve"> активности и информирования о ней.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Работа столовой вызывает неудовлетворённость у 21,5% студентов (сумма «не очень» и «совсем не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>»). Это самый высокий показатель негативных оценок среди всех вопросов.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>2. Общее восприятие колледжа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2.1. Соответствие ожиданиям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2"/>
        <w:gridCol w:w="811"/>
      </w:tblGrid>
      <w:tr w:rsidR="009F3D9A" w:rsidRPr="009F3D9A" w:rsidTr="009F3D9A">
        <w:trPr>
          <w:tblHeader/>
        </w:trPr>
        <w:tc>
          <w:tcPr>
            <w:tcW w:w="7802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</w:t>
            </w:r>
          </w:p>
        </w:tc>
      </w:tr>
      <w:tr w:rsidR="009F3D9A" w:rsidRPr="009F3D9A" w:rsidTr="009F3D9A">
        <w:tc>
          <w:tcPr>
            <w:tcW w:w="7802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Ожидания скорее оправданы, чем не оправданы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64,8%</w:t>
            </w:r>
          </w:p>
        </w:tc>
      </w:tr>
      <w:tr w:rsidR="009F3D9A" w:rsidRPr="009F3D9A" w:rsidTr="009F3D9A">
        <w:tc>
          <w:tcPr>
            <w:tcW w:w="7802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Ожидания скорее не оправданы, чем оправданы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19,4%</w:t>
            </w:r>
          </w:p>
        </w:tc>
      </w:tr>
      <w:tr w:rsidR="009F3D9A" w:rsidRPr="009F3D9A" w:rsidTr="009F3D9A">
        <w:tc>
          <w:tcPr>
            <w:tcW w:w="7802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9,7%</w:t>
            </w:r>
          </w:p>
        </w:tc>
      </w:tr>
      <w:tr w:rsidR="009F3D9A" w:rsidRPr="009F3D9A" w:rsidTr="009F3D9A">
        <w:tc>
          <w:tcPr>
            <w:tcW w:w="7802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Ожидания не оправданы совсем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6,1%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>Почти две трети студентов считают, что их ожидания от обучения в целом оправдались. Вместе с тем около четверти (25,5%) испытывают разочарование (сумма «скорее не оправданы» и «не оправданы совсем»). Это группа риска, требующая внимания.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2.2. Морально-нравственная атмосфера  </w:t>
      </w:r>
    </w:p>
    <w:tbl>
      <w:tblPr>
        <w:tblW w:w="6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8"/>
        <w:gridCol w:w="2141"/>
      </w:tblGrid>
      <w:tr w:rsidR="009F3D9A" w:rsidRPr="009F3D9A" w:rsidTr="009F3D9A">
        <w:trPr>
          <w:tblHeader/>
        </w:trPr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</w:t>
            </w:r>
          </w:p>
        </w:tc>
      </w:tr>
      <w:tr w:rsidR="009F3D9A" w:rsidRPr="009F3D9A" w:rsidTr="009F3D9A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Позитивная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57,2%</w:t>
            </w:r>
          </w:p>
        </w:tc>
      </w:tr>
      <w:tr w:rsidR="009F3D9A" w:rsidRPr="009F3D9A" w:rsidTr="009F3D9A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Нейтральная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36,5%</w:t>
            </w:r>
          </w:p>
        </w:tc>
      </w:tr>
      <w:tr w:rsidR="009F3D9A" w:rsidRPr="009F3D9A" w:rsidTr="009F3D9A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Негативная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6,2%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>Атмосфера в колледже воспринимается преимущественно позитивно или нейтрально. Доля негативных оценок невелика, что является хорошим показателем.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2.3. Престиж колледжа  </w:t>
      </w:r>
    </w:p>
    <w:tbl>
      <w:tblPr>
        <w:tblW w:w="6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1"/>
        <w:gridCol w:w="1488"/>
      </w:tblGrid>
      <w:tr w:rsidR="009F3D9A" w:rsidRPr="009F3D9A" w:rsidTr="009F3D9A">
        <w:trPr>
          <w:tblHeader/>
        </w:trPr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F3D9A" w:rsidRPr="009F3D9A" w:rsidTr="009F3D9A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престижно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61,5%</w:t>
            </w:r>
          </w:p>
        </w:tc>
      </w:tr>
      <w:tr w:rsidR="009F3D9A" w:rsidRPr="009F3D9A" w:rsidTr="009F3D9A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25,6%</w:t>
            </w:r>
          </w:p>
        </w:tc>
      </w:tr>
      <w:tr w:rsidR="009F3D9A" w:rsidRPr="009F3D9A" w:rsidTr="009F3D9A">
        <w:tc>
          <w:tcPr>
            <w:tcW w:w="0" w:type="auto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9F3D9A" w:rsidRPr="009F3D9A" w:rsidRDefault="009F3D9A" w:rsidP="009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12,9%</w:t>
            </w:r>
          </w:p>
        </w:tc>
      </w:tr>
    </w:tbl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Вывод: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Большинство студентов считают обучение в ГБПОУ ЮУМК престижным. Однако четверть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не имеют чёткого мнения, а 12,9% дают отрицательный ответ. Это </w:t>
      </w:r>
      <w:r w:rsidRPr="001056D1">
        <w:rPr>
          <w:rFonts w:ascii="Times New Roman" w:hAnsi="Times New Roman" w:cs="Times New Roman"/>
          <w:sz w:val="24"/>
          <w:szCs w:val="24"/>
        </w:rPr>
        <w:lastRenderedPageBreak/>
        <w:t>может быть связано с недостаточной информированностью о достижениях колледжа или с личным опытом.</w:t>
      </w:r>
    </w:p>
    <w:p w:rsidR="001056D1" w:rsidRPr="009F3D9A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D9A">
        <w:rPr>
          <w:rFonts w:ascii="Times New Roman" w:hAnsi="Times New Roman" w:cs="Times New Roman"/>
          <w:b/>
          <w:sz w:val="24"/>
          <w:szCs w:val="24"/>
        </w:rPr>
        <w:t>3. Итоговые выводы и рекомендации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Сильные стороны (зоны успеха)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Высокий профессиональный уровень преподавателей (64% полностью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Хорошие взаимоотношения между студентами и преподавателями (56,9% полностью удовлетворены).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В целом позитивная морально-нравственная атмосфера (57,2%).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- Более 60% студентов полностью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организацией учебного процесса, методическим и библиотечным обеспечением.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 Точки роста (проблемные зоны)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1. Работа столовой – 21,5% неудовлетворённых, самый высокий уровень негативных оценок.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2. Организация досуга – 16,5% </w:t>
      </w:r>
      <w:proofErr w:type="gramStart"/>
      <w:r w:rsidRPr="001056D1">
        <w:rPr>
          <w:rFonts w:ascii="Times New Roman" w:hAnsi="Times New Roman" w:cs="Times New Roman"/>
          <w:sz w:val="24"/>
          <w:szCs w:val="24"/>
        </w:rPr>
        <w:t>неудовлетворённых</w:t>
      </w:r>
      <w:proofErr w:type="gramEnd"/>
      <w:r w:rsidRPr="001056D1">
        <w:rPr>
          <w:rFonts w:ascii="Times New Roman" w:hAnsi="Times New Roman" w:cs="Times New Roman"/>
          <w:sz w:val="24"/>
          <w:szCs w:val="24"/>
        </w:rPr>
        <w:t xml:space="preserve"> и 15,5% затруднившихся ответить, что говорит о низкой вовлечённости или информированности.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3. Информирование о практике и научной работе – высокий процент ответов «затрудняюсь ответить» (22,2% и 16,9%).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4. Ожидания от обучения – 25,5% студентов в той или иной степени разочарованы.  </w:t>
      </w:r>
    </w:p>
    <w:p w:rsidR="001056D1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5. Престиж колледжа – 12,9% считают обучение </w:t>
      </w:r>
      <w:proofErr w:type="spellStart"/>
      <w:r w:rsidRPr="001056D1">
        <w:rPr>
          <w:rFonts w:ascii="Times New Roman" w:hAnsi="Times New Roman" w:cs="Times New Roman"/>
          <w:sz w:val="24"/>
          <w:szCs w:val="24"/>
        </w:rPr>
        <w:t>непрестижным</w:t>
      </w:r>
      <w:proofErr w:type="spellEnd"/>
      <w:r w:rsidRPr="001056D1">
        <w:rPr>
          <w:rFonts w:ascii="Times New Roman" w:hAnsi="Times New Roman" w:cs="Times New Roman"/>
          <w:sz w:val="24"/>
          <w:szCs w:val="24"/>
        </w:rPr>
        <w:t>, а 25,6% не определились.</w:t>
      </w:r>
    </w:p>
    <w:p w:rsidR="00323ECC" w:rsidRPr="001056D1" w:rsidRDefault="001056D1" w:rsidP="001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D1">
        <w:rPr>
          <w:rFonts w:ascii="Times New Roman" w:hAnsi="Times New Roman" w:cs="Times New Roman"/>
          <w:sz w:val="24"/>
          <w:szCs w:val="24"/>
        </w:rPr>
        <w:t xml:space="preserve">Колледж имеет прочный фундамент в виде качественного преподавания и благоприятной атмосферы. Основные резервы повышения удовлетворённости связаны с улучшением бытовых условий (столовая), развитием </w:t>
      </w:r>
      <w:proofErr w:type="spellStart"/>
      <w:r w:rsidRPr="001056D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1056D1">
        <w:rPr>
          <w:rFonts w:ascii="Times New Roman" w:hAnsi="Times New Roman" w:cs="Times New Roman"/>
          <w:sz w:val="24"/>
          <w:szCs w:val="24"/>
        </w:rPr>
        <w:t xml:space="preserve"> сферы и информированием студентов о доступных возможностях. Реализация предложенных мер позволит снизить долю разочарованных студентов и укрепить репутацию учебного заведения.</w:t>
      </w:r>
    </w:p>
    <w:sectPr w:rsidR="00323ECC" w:rsidRPr="001056D1" w:rsidSect="0032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056D1"/>
    <w:rsid w:val="000A1D05"/>
    <w:rsid w:val="001056D1"/>
    <w:rsid w:val="00323ECC"/>
    <w:rsid w:val="008E73FE"/>
    <w:rsid w:val="009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CC"/>
  </w:style>
  <w:style w:type="paragraph" w:styleId="3">
    <w:name w:val="heading 3"/>
    <w:basedOn w:val="a"/>
    <w:link w:val="30"/>
    <w:uiPriority w:val="9"/>
    <w:qFormat/>
    <w:rsid w:val="00105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6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0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56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hlebnikovane</dc:creator>
  <cp:lastModifiedBy>hlebnikovane</cp:lastModifiedBy>
  <cp:revision>3</cp:revision>
  <dcterms:created xsi:type="dcterms:W3CDTF">2026-03-11T10:39:00Z</dcterms:created>
  <dcterms:modified xsi:type="dcterms:W3CDTF">2026-03-11T11:46:00Z</dcterms:modified>
</cp:coreProperties>
</file>