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Анализ результатов анкетирования преподавателей</w:t>
      </w:r>
      <w:r w:rsidR="004F5ACE">
        <w:rPr>
          <w:rFonts w:ascii="Times New Roman" w:hAnsi="Times New Roman" w:cs="Times New Roman"/>
          <w:sz w:val="24"/>
          <w:szCs w:val="24"/>
        </w:rPr>
        <w:t xml:space="preserve"> за 2025 год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Количество респондентов: 132 преподавателя.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DA">
        <w:rPr>
          <w:rFonts w:ascii="Times New Roman" w:hAnsi="Times New Roman" w:cs="Times New Roman"/>
          <w:b/>
          <w:sz w:val="24"/>
          <w:szCs w:val="24"/>
        </w:rPr>
        <w:t xml:space="preserve"> 1. Удовлетворённость различными аспектами работы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Преподаватели оценили 14 параметров по шкале: «Полностью удовлетворен», «Частично удовлетворен», «Не удовлетворен», «Затрудняюсь ответить».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9"/>
        <w:gridCol w:w="3510"/>
      </w:tblGrid>
      <w:tr w:rsidR="00586BDA" w:rsidRPr="00586BDA" w:rsidTr="00586BDA">
        <w:trPr>
          <w:tblHeader/>
        </w:trPr>
        <w:tc>
          <w:tcPr>
            <w:tcW w:w="5959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35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 удовлетворённых</w:t>
            </w:r>
          </w:p>
        </w:tc>
      </w:tr>
      <w:tr w:rsidR="00586BDA" w:rsidRPr="00586BDA" w:rsidTr="00586BDA">
        <w:tc>
          <w:tcPr>
            <w:tcW w:w="5959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Отношения с коллегами</w:t>
            </w:r>
          </w:p>
        </w:tc>
        <w:tc>
          <w:tcPr>
            <w:tcW w:w="3510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97,5%</w:t>
            </w:r>
          </w:p>
        </w:tc>
      </w:tr>
      <w:tr w:rsidR="00586BDA" w:rsidRPr="00586BDA" w:rsidTr="00586BDA">
        <w:tc>
          <w:tcPr>
            <w:tcW w:w="5959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Отношения с обучающимися</w:t>
            </w:r>
          </w:p>
        </w:tc>
        <w:tc>
          <w:tcPr>
            <w:tcW w:w="3510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97,4%</w:t>
            </w:r>
          </w:p>
        </w:tc>
      </w:tr>
      <w:tr w:rsidR="00586BDA" w:rsidRPr="00586BDA" w:rsidTr="00586BDA">
        <w:tc>
          <w:tcPr>
            <w:tcW w:w="5959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Доступность информации о делах колледжа</w:t>
            </w:r>
          </w:p>
        </w:tc>
        <w:tc>
          <w:tcPr>
            <w:tcW w:w="3510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93,5%</w:t>
            </w:r>
          </w:p>
        </w:tc>
      </w:tr>
      <w:tr w:rsidR="00586BDA" w:rsidRPr="00586BDA" w:rsidTr="00586BDA">
        <w:tc>
          <w:tcPr>
            <w:tcW w:w="5959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Отношение руководства</w:t>
            </w:r>
          </w:p>
        </w:tc>
        <w:tc>
          <w:tcPr>
            <w:tcW w:w="3510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92,1%</w:t>
            </w:r>
          </w:p>
        </w:tc>
      </w:tr>
    </w:tbl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Вывод: В колледже сложился здоровый психологический климат, хорошие горизонтальные и вертикальные коммуникации. Это ключевой актив организации.</w:t>
      </w:r>
    </w:p>
    <w:p w:rsid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DA">
        <w:rPr>
          <w:rFonts w:ascii="Times New Roman" w:hAnsi="Times New Roman" w:cs="Times New Roman"/>
          <w:b/>
          <w:sz w:val="24"/>
          <w:szCs w:val="24"/>
        </w:rPr>
        <w:t xml:space="preserve"> Наиболее проблемные зоны (наибольший % «Не удовлетворен»)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6"/>
        <w:gridCol w:w="2693"/>
        <w:gridCol w:w="2694"/>
      </w:tblGrid>
      <w:tr w:rsidR="00586BDA" w:rsidRPr="00586BDA" w:rsidTr="00586BDA">
        <w:trPr>
          <w:tblHeader/>
        </w:trPr>
        <w:tc>
          <w:tcPr>
            <w:tcW w:w="4116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693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 неудовлетворённых</w:t>
            </w:r>
          </w:p>
        </w:tc>
        <w:tc>
          <w:tcPr>
            <w:tcW w:w="2694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Примерное число преподавателей</w:t>
            </w:r>
          </w:p>
        </w:tc>
      </w:tr>
      <w:tr w:rsidR="00586BDA" w:rsidRPr="00586BDA" w:rsidTr="00586BDA">
        <w:tc>
          <w:tcPr>
            <w:tcW w:w="4116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Система питания, медобслуживание</w:t>
            </w:r>
          </w:p>
        </w:tc>
        <w:tc>
          <w:tcPr>
            <w:tcW w:w="2693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30,0%</w:t>
            </w:r>
          </w:p>
        </w:tc>
        <w:tc>
          <w:tcPr>
            <w:tcW w:w="2694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40</w:t>
            </w:r>
          </w:p>
        </w:tc>
      </w:tr>
      <w:tr w:rsidR="00586BDA" w:rsidRPr="00586BDA" w:rsidTr="00586BDA">
        <w:tc>
          <w:tcPr>
            <w:tcW w:w="4116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Условия оплаты труда</w:t>
            </w:r>
          </w:p>
        </w:tc>
        <w:tc>
          <w:tcPr>
            <w:tcW w:w="2693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28,5%</w:t>
            </w:r>
          </w:p>
        </w:tc>
        <w:tc>
          <w:tcPr>
            <w:tcW w:w="2694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38</w:t>
            </w:r>
          </w:p>
        </w:tc>
      </w:tr>
      <w:tr w:rsidR="00586BDA" w:rsidRPr="00586BDA" w:rsidTr="00586BDA">
        <w:tc>
          <w:tcPr>
            <w:tcW w:w="4116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Условия организации труда и оснащённость рабочего места</w:t>
            </w:r>
          </w:p>
        </w:tc>
        <w:tc>
          <w:tcPr>
            <w:tcW w:w="2693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21,3%</w:t>
            </w:r>
          </w:p>
        </w:tc>
        <w:tc>
          <w:tcPr>
            <w:tcW w:w="2694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28</w:t>
            </w:r>
          </w:p>
        </w:tc>
      </w:tr>
      <w:tr w:rsidR="00586BDA" w:rsidRPr="00586BDA" w:rsidTr="00586BDA">
        <w:tc>
          <w:tcPr>
            <w:tcW w:w="4116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Участие в принятии управленческих решений</w:t>
            </w:r>
          </w:p>
        </w:tc>
        <w:tc>
          <w:tcPr>
            <w:tcW w:w="2693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6,9% (но высок % «Частично» – 36,8% и «Затрудняюсь» – 10,5%)</w:t>
            </w:r>
          </w:p>
        </w:tc>
        <w:tc>
          <w:tcPr>
            <w:tcW w:w="2694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</w:p>
        </w:tc>
      </w:tr>
    </w:tbl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Вывод: Главные болевые точки – зарплата, бытовые условия (питание/медицина) и материально-техническая база. Также настораживает низкая вовлечённость в управление: лишь 45,8% полностью удовлетворены своим участием в решениях.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2. Что привлекает преподавателей в работе в колледже?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1"/>
        <w:gridCol w:w="2410"/>
        <w:gridCol w:w="2688"/>
      </w:tblGrid>
      <w:tr w:rsidR="00586BDA" w:rsidRPr="00586BDA" w:rsidTr="00586BDA">
        <w:trPr>
          <w:tblHeader/>
        </w:trPr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 от числа ответов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Примерное число преподавателей (из 132)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Близость от места жительства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18,1%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Возможность интересной творческой работы со студентами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17,4%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23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Комфортная морально-психологическая атмосфера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13,7%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Возможность профессионального роста как преподавателя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12,7%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Хорошие условия труда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10,8%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Высокий престиж колледжа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7,9%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Интересные специальности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7,1%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Интересная внеучебная работа (конференции и др.)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5,4%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Возможность внедрять свои научные разработки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</w:tr>
      <w:tr w:rsidR="00586BDA" w:rsidRPr="00586BDA" w:rsidTr="00586BDA">
        <w:tc>
          <w:tcPr>
            <w:tcW w:w="4541" w:type="dxa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Возможность заниматься наукой и издавать труды</w:t>
            </w:r>
          </w:p>
        </w:tc>
        <w:tc>
          <w:tcPr>
            <w:tcW w:w="2410" w:type="dxa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3,4%</w:t>
            </w:r>
          </w:p>
        </w:tc>
        <w:tc>
          <w:tcPr>
            <w:tcW w:w="2688" w:type="dxa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</w:tr>
    </w:tbl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Всего получено 822 ответа (каждый респондент мог выбрать несколько вариантов, в среднем – 6–7 вариантов на человека).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Вывод: Главные нематериальные мотиваторы – близость к дому, интересная работа со студентами и хороший коллектив. Научная деятельность привлекает лишь небольшую часть преподавателей.</w:t>
      </w:r>
    </w:p>
    <w:p w:rsidR="00586BDA" w:rsidRPr="003464AC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AC">
        <w:rPr>
          <w:rFonts w:ascii="Times New Roman" w:hAnsi="Times New Roman" w:cs="Times New Roman"/>
          <w:b/>
          <w:sz w:val="24"/>
          <w:szCs w:val="24"/>
        </w:rPr>
        <w:t xml:space="preserve"> 3. Проблемы учебного процесса, требующие первоочередного решения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Получено 800 ответов (каждый респондент указал в среднем 6 проблем).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7"/>
        <w:gridCol w:w="1668"/>
        <w:gridCol w:w="3234"/>
      </w:tblGrid>
      <w:tr w:rsidR="00586BDA" w:rsidRPr="00586BDA" w:rsidTr="003464AC">
        <w:trPr>
          <w:tblHeader/>
        </w:trPr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% от числа ответов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Примерное число преподавателей (из 132)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Слабая оснащённость ТСО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20,1%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27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Низкая дисциплина студентов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13,8%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18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Недостаток учебно-методической литературы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10,5%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14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Отсутствие возможности оперативного размножения раздаточных материалов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10,0%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Несовершенство экономического механизма стимулирования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9,4%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12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Неудобное расписание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8,6%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11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Недостаточная лабораторная база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7,8%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Омоложение преподавательских кадров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6,5%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Дефицит аудиторий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Слабая система диагностики и оценки знаний студентов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Плохая организация производственной практики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2,1%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Низкое качество содержания обучения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1,9%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</w:tr>
      <w:tr w:rsidR="00586BDA" w:rsidRPr="00586BDA" w:rsidTr="003464AC">
        <w:tc>
          <w:tcPr>
            <w:tcW w:w="0" w:type="auto"/>
            <w:shd w:val="clear" w:color="auto" w:fill="FFFFFF"/>
            <w:tcMar>
              <w:top w:w="83" w:type="dxa"/>
              <w:left w:w="0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58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Уровень научных исследований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133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1,0%</w:t>
            </w:r>
          </w:p>
        </w:tc>
        <w:tc>
          <w:tcPr>
            <w:tcW w:w="0" w:type="auto"/>
            <w:shd w:val="clear" w:color="auto" w:fill="FFFFFF"/>
            <w:tcMar>
              <w:top w:w="83" w:type="dxa"/>
              <w:left w:w="133" w:type="dxa"/>
              <w:bottom w:w="83" w:type="dxa"/>
              <w:right w:w="0" w:type="dxa"/>
            </w:tcMar>
            <w:vAlign w:val="center"/>
            <w:hideMark/>
          </w:tcPr>
          <w:p w:rsidR="00586BDA" w:rsidRPr="00586BDA" w:rsidRDefault="00586BDA" w:rsidP="0034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586BD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</w:tbl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Вывод: Острейшая проблема – слабая оснащённость ТСО (её отметил каждый пятый). Далее следуют дисциплина студентов и нехватка учебных материалов/возможности их размножения. Проблемы стимулирования и лабораторной базы также значимы.</w:t>
      </w:r>
    </w:p>
    <w:p w:rsidR="00586BDA" w:rsidRPr="003464AC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AC">
        <w:rPr>
          <w:rFonts w:ascii="Times New Roman" w:hAnsi="Times New Roman" w:cs="Times New Roman"/>
          <w:b/>
          <w:sz w:val="24"/>
          <w:szCs w:val="24"/>
        </w:rPr>
        <w:t xml:space="preserve"> 4. Взаимосвязи и глубинные тенденции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Оплата труда и признание. Высокий уровень неудовлетворённости зарплатой (28,5%) сочетается с низкой долей полностью удовлетворённых признанием успехов (53,1%). Преподаватели не видят отражения своих достижений.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  Оснащённость и условия труда. Проблема «Слабая оснащённость ТСО» (20,1%) напрямую связана с неудовлетворённостью условиями организации труда (21,3%). Это единый комплекс.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  Близость к дому как компенсатор. При низкой зарплате и бытовых проблемах главной причиной работы остаётся географическое удобство. Это создаёт риск оттока кадров при появлении альтернатив рядом с домом.</w:t>
      </w:r>
    </w:p>
    <w:p w:rsidR="00586BDA" w:rsidRPr="003464AC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AC">
        <w:rPr>
          <w:rFonts w:ascii="Times New Roman" w:hAnsi="Times New Roman" w:cs="Times New Roman"/>
          <w:b/>
          <w:sz w:val="24"/>
          <w:szCs w:val="24"/>
        </w:rPr>
        <w:t xml:space="preserve">5. Рекомендации 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Краткосрочные меры (до полугода)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Инвентаризация ТСО и составление плана поэтапного обновления самого необходимого оборудования (хотя бы для ключевых дисциплин).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Пополнение библиотечного фонда учебно-методической литературой, рассмотреть </w:t>
      </w:r>
      <w:r w:rsidR="003464AC">
        <w:rPr>
          <w:rFonts w:ascii="Times New Roman" w:hAnsi="Times New Roman" w:cs="Times New Roman"/>
          <w:sz w:val="24"/>
          <w:szCs w:val="24"/>
        </w:rPr>
        <w:t xml:space="preserve">улучшение </w:t>
      </w:r>
      <w:r w:rsidRPr="00586BDA">
        <w:rPr>
          <w:rFonts w:ascii="Times New Roman" w:hAnsi="Times New Roman" w:cs="Times New Roman"/>
          <w:sz w:val="24"/>
          <w:szCs w:val="24"/>
        </w:rPr>
        <w:t>доступа к электронным ресурсам.</w:t>
      </w:r>
    </w:p>
    <w:p w:rsidR="00586BDA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 xml:space="preserve">  Итоговый вывод</w:t>
      </w:r>
    </w:p>
    <w:p w:rsidR="00B57B02" w:rsidRPr="00586BDA" w:rsidRDefault="00586BDA" w:rsidP="0058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BDA">
        <w:rPr>
          <w:rFonts w:ascii="Times New Roman" w:hAnsi="Times New Roman" w:cs="Times New Roman"/>
          <w:sz w:val="24"/>
          <w:szCs w:val="24"/>
        </w:rPr>
        <w:t>Колледж обладает уникальным ресурсом – сплочённым коллективом с высоким уровнем доверия и взаимопонимания. Однако материальные и бытовые условия (зарплата, оснащение, питание) находятся в зоне риска и требуют внимания. Удержать ценные кадры можно только сочетая улучшение этих условий с сохранением благоприятного психологического климата.</w:t>
      </w:r>
    </w:p>
    <w:sectPr w:rsidR="00B57B02" w:rsidRPr="00586BDA" w:rsidSect="00586B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586BDA"/>
    <w:rsid w:val="003464AC"/>
    <w:rsid w:val="004F5ACE"/>
    <w:rsid w:val="00586BDA"/>
    <w:rsid w:val="00B57B02"/>
    <w:rsid w:val="00E9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hlebnikovane</dc:creator>
  <cp:lastModifiedBy>hlebnikovane</cp:lastModifiedBy>
  <cp:revision>3</cp:revision>
  <dcterms:created xsi:type="dcterms:W3CDTF">2026-03-11T10:13:00Z</dcterms:created>
  <dcterms:modified xsi:type="dcterms:W3CDTF">2026-03-11T11:46:00Z</dcterms:modified>
</cp:coreProperties>
</file>